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Л. 4. Технологическая политика и организационная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292222">
        <w:rPr>
          <w:rFonts w:eastAsia="Times New Roman" w:cs="Arial"/>
          <w:sz w:val="28"/>
          <w:szCs w:val="28"/>
          <w:lang w:eastAsia="ru-RU"/>
        </w:rPr>
        <w:t>инфраструктура осуществления регул</w:t>
      </w:r>
      <w:r>
        <w:rPr>
          <w:rFonts w:eastAsia="Times New Roman" w:cs="Arial"/>
          <w:sz w:val="28"/>
          <w:szCs w:val="28"/>
          <w:lang w:eastAsia="ru-RU"/>
        </w:rPr>
        <w:t>яций</w:t>
      </w:r>
      <w:bookmarkStart w:id="0" w:name="_GoBack"/>
      <w:bookmarkEnd w:id="0"/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Инновационная активность экономических агентов определяется институциональной средой, которая влияет на выбор оптимального вида деятельности, а также зависит от направления развития знаний и технологий.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Государственная технологическая политика представляет собой поддержку научно-технической деятельности в стране, а также нормативное правовое регулирование этой деятельности с целью эффективного развития научно-технического потенциала, увеличения вклада науки и техники в экономическое развитие, а также укрепление позиций на мировых рынках высоких технологий [19].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Технологическая ПОЛИТИКА — составная часть социально-экономической политики, которая выражает отношение государства к научной и научно-технической деятельности, определяет цели, направления, формы деятельности органов государственной власти РФ в области науки, техники и реализации достижений науки и техники. Основными целями научно-технической политики являются развитие, рациональное размещение и эффективное использование научно-технического потенциала, увеличение вклада науки и техники в развитие экономики государства, реализацию важнейших социальных задач, обеспечение прогрессивных структурных преобразований в области материального производства, повышение его эффективности и конкурентоспособности продукции, улучшение экологической обстановки и защиты информационных ресурсов государства, укрепление обороноспособности государства и безопасности личности, общества и государства, упрочение взаимосвязи науки и образования.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Научно-техническая политика осуществляется исходя из следующих основных принципов: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1) признание науки социально значимой отраслью, определяющей уровень развития производительных сил государства;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2) 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научно-технических программ и проектов, реализация которых осуществляется на основе конкурсов;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3) гарантия приоритетного развития фундаментальных научных исследований;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4) интеграция научной, научно-технической и образовательной деятельности на основе различных форм участия работников, аспирантов и студентов образовательных учреждений высшего профессионального образования в научных исследования и экспериментальных разработках посредством создания учебно-</w:t>
      </w:r>
      <w:r w:rsidRPr="00292222">
        <w:rPr>
          <w:rFonts w:eastAsia="Times New Roman" w:cs="Helvetica"/>
          <w:sz w:val="28"/>
          <w:szCs w:val="28"/>
          <w:lang w:eastAsia="ru-RU"/>
        </w:rPr>
        <w:lastRenderedPageBreak/>
        <w:t>научных комплексов на базе образовательных учреждений высшего профессионального образования, научных организаций академий наук, имеющих государственный статус, а та же научных организаций министерств и иных федеральных органов исполнительной власти;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5) поддержка конкуренции и предпринимательской деятельности в области науки и техники;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6) концентрация ресурсов на приоритетных направлениях развития науки и техники;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7) стимулирование научной, научно-технической и инновационной деятельности через систему экономических и иных льгот;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8) развитие научной, научно-технической и инновационной деятельности посредством создания системы государственных научных центров и других структур;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9) стимулирование научной, научно-технической и инновационной деятельности субъектов РФ и интеграция их научно-технического потенциала;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10) развитие международного научного и научно-технического сотрудничества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Определение основных направлений научно-технической политики, научно-техническое прогнозирование, выбор приоритетных направлений развития науки и техники, разработка рекомендаций и предложений о реализации научных и научно-технических программ и проектов, об использовании достижений науки и техники осуществляются в условиях гласности, с использованием различных форм общественных обсуждений, экспертиз и конкурсов.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Научно-техническая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научно-технической политики.</w:t>
      </w:r>
    </w:p>
    <w:p w:rsidR="00756F18" w:rsidRPr="00292222" w:rsidRDefault="00756F18" w:rsidP="00756F18">
      <w:pPr>
        <w:jc w:val="both"/>
        <w:rPr>
          <w:rFonts w:eastAsia="Times New Roman" w:cs="Helvetica"/>
          <w:sz w:val="28"/>
          <w:szCs w:val="28"/>
          <w:lang w:eastAsia="ru-RU"/>
        </w:rPr>
      </w:pPr>
      <w:r w:rsidRPr="00292222">
        <w:rPr>
          <w:rFonts w:eastAsia="Times New Roman" w:cs="Helvetica"/>
          <w:sz w:val="28"/>
          <w:szCs w:val="28"/>
          <w:lang w:eastAsia="ru-RU"/>
        </w:rPr>
        <w:t>Научно-техническая политика субъектов РФ формируется и проводится при взаимодействии органов государственной власти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756F18" w:rsidRPr="00292222" w:rsidRDefault="00756F18" w:rsidP="00756F1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 Успех японской модели развития по сравнению с США в 1970-е гг. показал, что нельзя смешивать научно-техническую и инновационную политику. Успех Японии был обеспечен практически без вклада страны в мировой научный прогресс.</w:t>
      </w:r>
    </w:p>
    <w:p w:rsidR="00756F18" w:rsidRPr="00292222" w:rsidRDefault="00756F18" w:rsidP="00756F1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Когда речь идет о научно-техническом регулировании, нельзя предполагать, что результат будет автоматическим следствием приложенного усилия и объема государственного финансирования [14]. Несмотря на то что по большей части задачи </w:t>
      </w:r>
      <w:r w:rsidRPr="00292222">
        <w:rPr>
          <w:rFonts w:cs="Arial"/>
          <w:sz w:val="28"/>
          <w:szCs w:val="28"/>
        </w:rPr>
        <w:lastRenderedPageBreak/>
        <w:t>в области НИОКР успешно решаются, регулирующие мероприятия государства на разных участках технологической политики могут обеспечивать разные результаты, что оказывает влияние на выбор форм финансовой поддержки (рис. 2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На практике выделяется два основных вида технологической политики: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общая регулярная поддержка научно-технического развития с распределением средств по всему спектру дисциплин и исследовательских проектов в зависимости от их значимости;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2) сфокусированная научно-техническая поддержка, представляющая собой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внерегуляр-ные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крупные усилия, обеспечивающие выборочное стимулирование той или иной области науки и техники, и направленная на передовые НИОКР.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Такая деятельность государства обеспечивает создание научно-технической базы развития. Дальше можно ожидать долгого и спонтанного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перетока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достижений НТП в промышленные изделия и технологические процессы. Вместе с тем современный динамично меняющийся мир требует быстрой реакции производства на новые научные достижения. Для этого необходимо появление институциональной и организационной инфраструктуры, которая могла бы обеспечить взаимодействие бизнеса, науки и образования для создания и реализации инновационной продукции — национальной инновационной системы (НИС)П.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11 Понятие НИС было введено Кристофером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Фриманом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в 1987 г. [37]. В систематическом виде концепция была впервые изложена в 1988 г. в работе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Dosi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G.,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Freeman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C.,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Nelson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R.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Technical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Change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and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Economic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Theory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London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: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Pinter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Publishers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, 1988. </w:t>
      </w:r>
      <w:proofErr w:type="gramStart"/>
      <w:r w:rsidRPr="00292222">
        <w:rPr>
          <w:rFonts w:eastAsia="Times New Roman" w:cs="Arial"/>
          <w:sz w:val="28"/>
          <w:szCs w:val="28"/>
          <w:lang w:eastAsia="ru-RU"/>
        </w:rPr>
        <w:t>Кроме того</w:t>
      </w:r>
      <w:proofErr w:type="gramEnd"/>
      <w:r w:rsidRPr="00292222">
        <w:rPr>
          <w:rFonts w:eastAsia="Times New Roman" w:cs="Arial"/>
          <w:sz w:val="28"/>
          <w:szCs w:val="28"/>
          <w:lang w:eastAsia="ru-RU"/>
        </w:rPr>
        <w:t xml:space="preserve"> весьма распространенные определения НИС сформулированы в работах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Бенгт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-Аке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Лундвалла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(1992), Ричарда Нельсона (1993), Пари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Пателя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и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Кейта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Павитта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(1994), Стэнли Меткалфа (1995) [40, 42, 43, 41].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Такое требование означает рост государственного вмешательства, и мы можем наблюдать зримое противоречие, когда правительство использует либеральную риторику, при построении прогнозов инновационного развития, но не проводит соответствующую политику экономической либерализации, чтобы не стать проигравшей стороной в глобальной конкурентной борьбе, когда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неопротекционизм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сделался значимым фактором успеха национальных предприятий на глобальном рынке12. В этой связи формирование инновационных систем является наиболее агрегированной задачей государственного регулирования инновационной деятельности.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НАЦИОНАЛЬНАЯ ИННОВАЦИОННАЯ ИНФРАСТРУКТУРА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Финансово-кредитная группа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 xml:space="preserve">- - бюджетное финансирование; - фонды поддержки науки, в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т.ч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>. частные; - банки инноваций; - венчурные фонды; - страховые компании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Информационная группа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- участие СМИ и популяризация через Интернет; - выставки и конференции; - каталоги и базы данных; - центры изучения рыночной конъюнктуры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Группа международных контактов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- международные фонды и организации поддержки; - международные журналы и конференции; - совместные исследования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Группа инновационных Группа государственной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посредников поддержки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инновационные агентства;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юридические консультационные центры;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патентно-лицензионные консультационные центры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участие органов государственной власти и местного самоуправления;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- определение (создание) государственных научных центров;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- технопарки,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технополисы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>, бизнес-инкубаторы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Понятие инновационной политики, развивающее или замещающее понятие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научнотехнической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политики, появилось в мировой практике регулирования 1970-е гг. под воздействием следующих обстоятельств: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усиление влияния технологических нововведений на конкурентоспособность предприятий;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2) обновление продукции и услуг в масштабах всей экономики под влиянием новых технологий.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Когда в экономике имеет место устойчивая рецессия, нововведения начинают рассматриваться в качестве основного фактора экономического развития. Обычно до этого внимание правительств сосредоточено лишь на проведении активной политики стимулирования НИОКР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12 В XIX в. немецкий экономист Адольф Генрих Вагнер выявил тенденцию, которую затем назвали «законом Вагнера»: с развитием мировой экономики доля государственных расходов в ВВП имеет тенденцию к росту. Сознательное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игнорирование этого закона явилось одной из главных причин катастрофического спада российской экономики в 1990-е г. г, так как российские либеральные правительства в качестве одновременных стратегических приоритетов рассматривали сокращение участия государства в хозяйственной деятельности страны и расширение ее участия в процессах глобализации [19].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Инновационная политика представляет собой комплекс мер, направленных на реализацию результатов научно-технической деятельности в новом, усовершенствованном продукте или технологическом процессе, а ее целью является повышение конкурентоспособности национальных производителей за счет стимулирования технологического развития предприятий путем внедрения в производство экономически эффективных инноваций [19]. Как мы уже отмечали, объект регулирования в данном случае — процесс внедрения новых технологий в производство, а также сбыт инновационной продукции.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 настоящее время можно выделить три главных типа моделей инновационного развития стран [1, 6, 8]: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страны, ориентированные на лидерство в науке, реализацию крупномасштабных инновационных проектов, охватывающих все стадии научно-производственного цикла, как правило, со значительной долей научно-инновационного потенциала в оборонном секторе (стратегия наращивания собственного научного потенциала и двойных инноваций — США, Великобритания, Франция);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2) страны, ориентированные на распространение нововведений, создание благоприятной экономической среды, способствующей инновационной активности частного бизнеса (создание и локализация инноваций — Германия, Швеция, Швейцария, Норвегия и др.);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3) страны, стимулирующие нововведения путем обеспечения восприимчивости к достижениям мирового научно-технического прогресса, развития инновационной инфраструктуры, координации действий различных секторов в области науки и технологий (стратегия заимствования — Китай, страны Юго-Восточной Азии).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Успех инновационной политики предполагает наличие ряда предварительных управленческих решений со стороны органов государственного регулирования: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Необходимо определиться в рамках федеральных нормативных актов, что конкретно понимается под «инновациями». Идеологическая размытость этого понятия не позволяет четко сформулировать цели государственного вмешательства.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2) Обсудить механизмы материальной заинтересованности ученых и научно-исследовательских институтов в инновационной деятельности. Определиться с правилами закрепления прав на объекты интеллектуальной собственности,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созданные в НИИ, согласовать порядок их использования и гарантировать право на доход исследовательских бюджетных учреждений.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3) Дать бизнесу четкие сигналы, какая модель поведения будет поощряться и каким образом. Бизнес-структуры должны захотеть создавать новые ценности, ориентированные на потребителя13.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4) Необходимо создать работающий механизм продвижения инновационных идей и конкретных технологий на всех уровнях, включая бизнес, конечных потребителей и бюрократию.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5) Разработать план преодоления организационных и административных барьеров на пути внедряемых технологий.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6) Наконец, указать лиц, ответственных за результат инновационной политики (а не за процесс, как это у нас сегодня принято).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Перечень четких действий необходим, поскольку зачастую не учитывается тот фактор, что успешную инновационную политику государство, бизнес и наука реализуют сообща, учитывая интересы всех участников процесса.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Задачи инновационной и технологической политики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1) Обеспечение заинтересованности частного сектора в финансировании инноваций; 2) определение направлений экономического развития страны; 3) повышение эффективности использования результатов научной и научно-технической деятельности; 4) повышение конкурентоспособности национальной продукции на мировых рынках; 5) модернизация экономики за счет перехода на инновационные рельсы; 6) укрепление обороноспособности страны; 7) повышение экологической безопасности и др. 1) Развитие фундаментальной науки, важнейших прикладных исследований и разработок; 2) определение направлений развития технологических преимуществ страны; 3) сохранение и развитие кадрового потенциала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научнотехнического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комплекса; 4) интеграция науки и образования; 5) развитие международного научно-технического сотрудничества; 6) развитие межвузовского сотрудничества внутри страны; 7) стимулирование кооперации бизнеса и науки и др.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Задачи по формированию институциональной среды 1) Снижение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трансакционных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издержек от бюрократического процесса; 2) повышение спецификации прав собственности в сфере НИОКР и инноваций; 3) формирование благоприятного инвестиционного климата; 4) обеспечение политической стабильности и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экономической свободы; 5) борьба с бедностью; 6) снижение дифференциации доходов; 7) создание и поддержание нужного уровня конкуренции на рынках и др.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Возвращаясь к институциональной среде ведения бизнеса, необходимо отметить важную роль для проведения успешной инновационной политики отсутствия негативных ожиданий и устойчивого роста доходов населения.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Методы инновационной и научно-технической политики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Борьба с коррупцией; 2) создание экономических стимулов, обеспечивающих применение накопленных знаний; 3) перекрытие каналов получения чрезмерной рентабельности в отдельных отраслях; 4) обеспечение заинтересованности частного сектора в финансировании инноваций; 5) развитие международного инновационного сотрудничества; 6) создание информационной инфраструктуры и обеспечение доступности ее услуг; 7) адаптация имеющихся и финансирование новых разработок и знаний для национальной экономики; 8) развитие кооперации между научно-исследовательской и предпринимательской сферами; 9) содействие в формировании рынков сбыта инновационной продукции; 10) повышение защиты прав интеллектуальной собственности; 11) поощрение малого наукоемкого бизнеса и др. 1) Формирование эффективной системы размещения госзаказа на НИОКР; 2) доведение до науки производственных задач; 3) создание системы подготовки научных кадров, начиная с уровня среднего образования; 4) поддержка международных научных контактов; 5) повышение материального обеспечения ученых и инженеров; 6) формирование современной научно-исследовательской инфраструктуры; 7) защита прав интеллектуальной собственности; 8) стимулирование исследований в вузах и на предприятиях; 9) повышение качества среднего и высшего образования, интеграция образования и научной деятельности, возможности для постоянного повышения квалификации заинтересованных лиц; 10) содействие повышению общественного статуса научно-технической деятельности и др.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Инструменты инновационной и научно-технической политики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1) Пропаганда в стране «культа качества»; 2) создание системы поиска и селекции одаренной молодежи с последующим трудоустройством; 3) создание государственных фондов новых технологий (лицензий, патентов, ноу-хау); 4) создание системы защиты авторских прав, прав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инноваторов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, охраны интеллектуальной собственности; 5) содействие в закупках за рубежом необходимых бизнесу производственного оборудования и инновационных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технологий; 6) стимулирование экспорта и прямых иностранных инвестиций; 7) координация инновационной деятельности, формирование «полюсов роста»; 8) разработка системы стандартов и нормативов, стимулирующих инновации; 9) введение финансовых санкций за выпуск устаревшей продукции; 10) прямое государственное финансирование инноваций в рамках предприятий госсектора; 11) государственные закупки инновационной продукции; 12) создание технополисов, технопарков и бизнес-инкубаторов; 13) стимулирование конкуренции на отдельных рынках в целях снижения нормы прибыли; 14) меры протекционизма для защиты перспективных отраслей; 15) налоговые скидки для предприятий в размере расходов на НИОКР, налоговые льготы в сфере налогообложения имущества, доходов и кредитования; 16) освобождение от таможенных пошлин импортируемого оборудования; 17) стимулирование занятости и др. 1) Усиленное бюджетное финансирование НИОКР; 2) создание органов общественного контроля за результатами размещения государственного заказа на НИОКР и отбором проектов; 3) заказ на специалистов нужного профиля через систему среднего и высшего образования; 4) государственное финансирование преподавательских и студенческих обменов и стажировок; 5) переподготовка научных кадров по иностранному языку; 6) предоставление для ученых и инженеров оборудованных помещений для проведения исследований; 7) общественная и/или независимая научная экспертиза крупных проектов, финансируемых государством; 8) проведение совместных межвузовских образовательных программ; 9) создание информационной сети между подразделениями научно-исследовательской инфраструктуры; 10) подключение к мировым системам научно-тех-ни ческой информации; 11) закупка зарубежной научно-технической литературы и финансирование ее переводов; 12) относительно высокая заработная плата для деятелей науки; 13) появление механизма снижения налогов на сумму стоимости приборов и оборудования, передаваемых вузам и научно-исследовательским институтам; 14) обеспечение взаимодействия ученых с инженерами и руководством предприятий и др.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Программа мероприятий инновационной политики не может быть статичной, в противном случае она превращается в неудачный аналог Госплана. В международной практике принято давать динамическую оценку инновационным мероприятиям государства и обеспечивать их регулярный пересмотр. Вот, например, критерии оценки инновационной политики на примере страны ЕС [16, с. 100]14. Оценка дается по пятибалльной системе на ежегодной основе (1 — полностью неудовлетворительно, 2 —неудовлетворительно (можно улучшить ситуацию), 3 — удовлетворительно, 4 — выше среднего в сравнении с другими странами ЕС.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Формирование инновационной политики и критерии ее оценки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 Открытость процесса разработки инновационной политики Процесс совершенствования инновационной политики происходит с участием основных заинтересованных сторон на всех стадиях процесса и на принципах партнерства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 Влияние имеющихся данных на проведение политики Работа над политикой проводится систематически, на основе имеющихся данных и результатов оценки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3 Регулярность и прозрачность процессов мониторинга и пересмотра инновационной политики. Все основные документы, касающиеся инновационной политики, и ее инструменты подлежат регулярному пересмотру с участием основных заинтересованных сторон.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4 Оценка влияния на инновационную сферу мер регулирования.  Существует четко структурированный процесс отслеживания влияния новых мер регулирования на инновационную сферу. Инновации играют роль в других национальных политиках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5 Наличие механизмов координации. Существует четко согласованная и отлаженная система координации политики на правительственном уровне и уровне государственных органов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б Наличие «культуры оценки» инновационной политики Меры инновационной политики оцениваются на основных этапах ее осуществления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7 Наличие внешней и внутренней оценки мер инновационной политики Результаты оценки соответствуют практическим критериям объективности (привлекаются независимые эксперты, оцениваются отчеты о результатах и т. п.)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8 Прозрачность и доступность результатов оценки. Все результаты оценок публикуются и являются предметом обсуждения общественности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Необходимость измерения результатов научно-исследовательских разработок и инновационных процессов была впервые обозначена в 1962 г. в ходе работы первой тематической конференции по вопросам системного решения проблем измерения результатов НИР и выработки объективных статистических показателей [2, с. 39]. За последние десятилетия в отечественной и зарубежной науке появилось значительное количество методик оценки и анализа научно-технического потенциала территории (региона или страны), как международных, адаптированных к российским условиям, так и уникальных. В целях сопоставления уровня внедрения инноваций используется индексный метод, основой которого является расчет индикаторов инновационного развития.</w:t>
      </w:r>
    </w:p>
    <w:p w:rsidR="00756F18" w:rsidRPr="00292222" w:rsidRDefault="00756F18" w:rsidP="00756F1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Всемирный экономический форум Индекс инновационной способности экономики (</w:t>
      </w:r>
      <w:proofErr w:type="spellStart"/>
      <w:r w:rsidRPr="00292222">
        <w:rPr>
          <w:rFonts w:cs="Arial"/>
          <w:sz w:val="28"/>
          <w:szCs w:val="28"/>
        </w:rPr>
        <w:t>National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Innovative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Capacity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Index</w:t>
      </w:r>
      <w:proofErr w:type="spellEnd"/>
      <w:r w:rsidRPr="00292222">
        <w:rPr>
          <w:rFonts w:cs="Arial"/>
          <w:sz w:val="28"/>
          <w:szCs w:val="28"/>
        </w:rPr>
        <w:t xml:space="preserve">) — характеризует способность к устойчивому </w:t>
      </w:r>
      <w:r w:rsidRPr="00292222">
        <w:rPr>
          <w:rFonts w:cs="Arial"/>
          <w:sz w:val="28"/>
          <w:szCs w:val="28"/>
        </w:rPr>
        <w:lastRenderedPageBreak/>
        <w:t xml:space="preserve">экономическому росту в среднесрочной перспективе (5 лет). Включает набор </w:t>
      </w:r>
      <w:proofErr w:type="spellStart"/>
      <w:r w:rsidRPr="00292222">
        <w:rPr>
          <w:rFonts w:cs="Arial"/>
          <w:sz w:val="28"/>
          <w:szCs w:val="28"/>
        </w:rPr>
        <w:t>субиндексов</w:t>
      </w:r>
      <w:proofErr w:type="spellEnd"/>
      <w:r w:rsidRPr="00292222">
        <w:rPr>
          <w:rFonts w:cs="Arial"/>
          <w:sz w:val="28"/>
          <w:szCs w:val="28"/>
        </w:rPr>
        <w:t>: 1) качество инновационной политики - эффективность защиты ПС, доступность налоговых скидок и субсидий; 2) условия формирования инновационных кластеров - состояние и глубина развития кластеров, уровень локальной конкурентной борьбы, требования потребителей; 3) качество инновационной инфраструктуры - наличие исследовательских организаций, системы подготовки технических кадров, наличие венчурного капитала; 4) ориентация компаний на инновационную деятельность - производство новых продуктов, уровень развития маркетинга, влияние инноваций на производительность.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cs="Arial"/>
          <w:sz w:val="28"/>
          <w:szCs w:val="28"/>
        </w:rPr>
        <w:t xml:space="preserve">Мировой банк Эффективность инновационных систем (в рамках программы </w:t>
      </w:r>
      <w:proofErr w:type="spellStart"/>
      <w:r w:rsidRPr="00292222">
        <w:rPr>
          <w:rFonts w:cs="Arial"/>
          <w:sz w:val="28"/>
          <w:szCs w:val="28"/>
        </w:rPr>
        <w:t>Knowledge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for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Development</w:t>
      </w:r>
      <w:proofErr w:type="spellEnd"/>
      <w:r w:rsidRPr="00292222">
        <w:rPr>
          <w:rFonts w:cs="Arial"/>
          <w:sz w:val="28"/>
          <w:szCs w:val="28"/>
        </w:rPr>
        <w:t xml:space="preserve">) — характеризует способность отдельных государств в использовании знаний как инструмента экономического развития. Для детальной характеристики используется следующий набор показателей: 1) прямые иностранные инвестиции как процент от ВВП; 2-3) размер роялти и лицензионных выплат (млн долл., млн долл. / млн населения); 4) число подготовленных за 10 лет ученых и инженеров по отношению к числу студентов; 5-6) число исследователей в сфере НИОКР (чел, чел./ млн насел.); 7) расходы на НИОКР, % от ВВП; 8) объем торговли, % от ВВП; 9) объем сотрудничества между исследовательскими секторами университетов и частных фирм; 10) общее число </w:t>
      </w:r>
      <w:proofErr w:type="spellStart"/>
      <w:r w:rsidRPr="00292222">
        <w:rPr>
          <w:rFonts w:cs="Arial"/>
          <w:sz w:val="28"/>
          <w:szCs w:val="28"/>
        </w:rPr>
        <w:t>инновационно</w:t>
      </w:r>
      <w:proofErr w:type="spellEnd"/>
      <w:r w:rsidRPr="00292222">
        <w:rPr>
          <w:rFonts w:cs="Arial"/>
          <w:sz w:val="28"/>
          <w:szCs w:val="28"/>
        </w:rPr>
        <w:t xml:space="preserve"> активных менеджеров; 11-12) общее количество статей в научных и технических журналах (единиц, единиц / млн населения); 13) административные барьеры для начинающих предпринимателей; 14) объем доступного венчурного капитала; 15-16) количество патентов, зарегистрированных Управлением патентов и товарных знаков США (единиц, ед. / млн населения); 17) объем экспорта высокотехнологичной продукции, в % от общего объема экспорта товаров промышленного производства; 18) объем ассигнований частного сектора на НИОКР (млн долл.) Кроме того, общая характеристика предусматривает еще 3 показателя: </w:t>
      </w:r>
      <w:r w:rsidRPr="00292222">
        <w:rPr>
          <w:rFonts w:ascii="Arial" w:hAnsi="Arial" w:cs="Arial"/>
          <w:sz w:val="28"/>
          <w:szCs w:val="28"/>
        </w:rPr>
        <w:t>■</w:t>
      </w:r>
      <w:r w:rsidRPr="00292222">
        <w:rPr>
          <w:rFonts w:cs="Arial"/>
          <w:sz w:val="28"/>
          <w:szCs w:val="28"/>
        </w:rPr>
        <w:t xml:space="preserve">S </w:t>
      </w:r>
      <w:r w:rsidRPr="00292222">
        <w:rPr>
          <w:rFonts w:ascii="Calibri" w:hAnsi="Calibri" w:cs="Calibri"/>
          <w:sz w:val="28"/>
          <w:szCs w:val="28"/>
        </w:rPr>
        <w:t>число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научных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работников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занятых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в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сфере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НИОКР</w:t>
      </w:r>
      <w:r w:rsidRPr="00292222">
        <w:rPr>
          <w:rFonts w:cs="Arial"/>
          <w:sz w:val="28"/>
          <w:szCs w:val="28"/>
        </w:rPr>
        <w:t xml:space="preserve">; </w:t>
      </w:r>
      <w:r w:rsidRPr="00292222">
        <w:rPr>
          <w:rFonts w:ascii="Arial" w:hAnsi="Arial" w:cs="Arial"/>
          <w:sz w:val="28"/>
          <w:szCs w:val="28"/>
        </w:rPr>
        <w:t>■</w:t>
      </w:r>
      <w:r w:rsidRPr="00292222">
        <w:rPr>
          <w:rFonts w:cs="Arial"/>
          <w:sz w:val="28"/>
          <w:szCs w:val="28"/>
        </w:rPr>
        <w:t xml:space="preserve">S </w:t>
      </w:r>
      <w:r w:rsidRPr="00292222">
        <w:rPr>
          <w:rFonts w:ascii="Calibri" w:hAnsi="Calibri" w:cs="Calibri"/>
          <w:sz w:val="28"/>
          <w:szCs w:val="28"/>
        </w:rPr>
        <w:t>количество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п</w:t>
      </w:r>
      <w:r w:rsidRPr="00292222">
        <w:rPr>
          <w:rFonts w:cs="Arial"/>
          <w:sz w:val="28"/>
          <w:szCs w:val="28"/>
        </w:rPr>
        <w:t xml:space="preserve">атентов общего назначения, а также патенты на механизмы, разработку, регистрационные знаки и др.; </w:t>
      </w:r>
      <w:r w:rsidRPr="00292222">
        <w:rPr>
          <w:rFonts w:ascii="Arial" w:hAnsi="Arial" w:cs="Arial"/>
          <w:sz w:val="28"/>
          <w:szCs w:val="28"/>
        </w:rPr>
        <w:t>■</w:t>
      </w:r>
      <w:r w:rsidRPr="00292222">
        <w:rPr>
          <w:rFonts w:cs="Arial"/>
          <w:sz w:val="28"/>
          <w:szCs w:val="28"/>
        </w:rPr>
        <w:t xml:space="preserve">S </w:t>
      </w:r>
      <w:r w:rsidRPr="00292222">
        <w:rPr>
          <w:rFonts w:ascii="Calibri" w:hAnsi="Calibri" w:cs="Calibri"/>
          <w:sz w:val="28"/>
          <w:szCs w:val="28"/>
        </w:rPr>
        <w:t>количество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журнальных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статей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опубликованных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в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таких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областях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как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физика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математика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биология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химия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клиническая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медицина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биомедицинские</w:t>
      </w:r>
      <w:r w:rsidRPr="00292222">
        <w:rPr>
          <w:rFonts w:cs="Arial"/>
          <w:sz w:val="28"/>
          <w:szCs w:val="28"/>
        </w:rPr>
        <w:t xml:space="preserve"> </w:t>
      </w:r>
      <w:r w:rsidRPr="00292222">
        <w:rPr>
          <w:rFonts w:ascii="Calibri" w:hAnsi="Calibri" w:cs="Calibri"/>
          <w:sz w:val="28"/>
          <w:szCs w:val="28"/>
        </w:rPr>
        <w:t>исследования</w:t>
      </w:r>
      <w:r w:rsidRPr="00292222">
        <w:rPr>
          <w:rFonts w:cs="Arial"/>
          <w:sz w:val="28"/>
          <w:szCs w:val="28"/>
        </w:rPr>
        <w:t xml:space="preserve">, </w:t>
      </w:r>
      <w:r w:rsidRPr="00292222">
        <w:rPr>
          <w:rFonts w:ascii="Calibri" w:hAnsi="Calibri" w:cs="Calibri"/>
          <w:sz w:val="28"/>
          <w:szCs w:val="28"/>
        </w:rPr>
        <w:t>и</w:t>
      </w:r>
      <w:r w:rsidRPr="00292222">
        <w:rPr>
          <w:rFonts w:cs="Arial"/>
          <w:sz w:val="28"/>
          <w:szCs w:val="28"/>
        </w:rPr>
        <w:t>нженерные науки и технологии, исследование Земли и космические науки</w:t>
      </w:r>
    </w:p>
    <w:p w:rsidR="00756F18" w:rsidRPr="00292222" w:rsidRDefault="00756F18" w:rsidP="00756F1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cs="Arial"/>
          <w:sz w:val="28"/>
          <w:szCs w:val="28"/>
        </w:rPr>
        <w:t xml:space="preserve">Несмотря на то что эпитет «инновационный» встречается сейчас в подавляющем большинстве отчетных документов, на деле инновационное развитие нашей страны не является вынужденной и осознанной мерой. Инновационная политика в России </w:t>
      </w:r>
      <w:proofErr w:type="gramStart"/>
      <w:r w:rsidRPr="00292222">
        <w:rPr>
          <w:rFonts w:cs="Arial"/>
          <w:sz w:val="28"/>
          <w:szCs w:val="28"/>
        </w:rPr>
        <w:t>( тоже</w:t>
      </w:r>
      <w:proofErr w:type="gramEnd"/>
      <w:r w:rsidRPr="00292222">
        <w:rPr>
          <w:rFonts w:cs="Arial"/>
          <w:sz w:val="28"/>
          <w:szCs w:val="28"/>
        </w:rPr>
        <w:t xml:space="preserve"> самое можно сказать и о Казахстане) — следствие обеспокоенности высших </w:t>
      </w:r>
      <w:r w:rsidRPr="00292222">
        <w:rPr>
          <w:rFonts w:cs="Arial"/>
          <w:sz w:val="28"/>
          <w:szCs w:val="28"/>
        </w:rPr>
        <w:lastRenderedPageBreak/>
        <w:t>бюрократических структур по поводу возможного снижения финансирования ведомств в случае падения международного спроса на российские сырьевые ресурсы. Но наполнение бюджета сегодня возможно и без инноваций, которые на судьбу большинства государственных служащих вообще не влияют. Таким образом, наряду с бизнесом государственные структуры в своей массе также не столь заинтересованы в построении инновационной экономики, как может показаться на первый взгляд. Конечно, определенный интерес возникает при освоении средств, выделенных в рамках «инновационных» федеральных целевых программ, но это всего лишь вопрос перераспределения средств и полномочий в пользу инновационной деятельности тех же ведомств, причем с появлением обязательной отчетности и дополнительной работы (без связи с оплатой труда) для рядовых представителей госструктур.</w:t>
      </w:r>
    </w:p>
    <w:p w:rsidR="00AB09E4" w:rsidRDefault="00AB09E4"/>
    <w:sectPr w:rsidR="00AB09E4" w:rsidSect="00756F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18"/>
    <w:rsid w:val="00756F18"/>
    <w:rsid w:val="00A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6DE9-EA76-407E-A54B-93DDA15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2022-09-17T15:31:00Z</dcterms:created>
  <dcterms:modified xsi:type="dcterms:W3CDTF">2022-09-17T15:31:00Z</dcterms:modified>
</cp:coreProperties>
</file>